
<file path=[Content_Types].xml><?xml version="1.0" encoding="utf-8"?>
<Types xmlns="http://schemas.openxmlformats.org/package/2006/content-types">
  <Override PartName="/docProps/core.xml" ContentType="application/vnd.openxmlformats-package.core-properties+xml"/>
  <Override PartName="/word/header3.xml" ContentType="application/vnd.openxmlformats-officedocument.wordprocessingml.header+xml"/>
  <Override PartName="/word/footer1.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footer3.xml" ContentType="application/vnd.openxmlformats-officedocument.wordprocessingml.footer+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document.xml" ContentType="application/vnd.openxmlformats-officedocument.wordprocessingml.document.main+xml"/>
  <Override PartName="/word/fontTable.xml" ContentType="application/vnd.openxmlformats-officedocument.wordprocessingml.fontTa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E46E34" w:rsidRDefault="008461F7">
      <w:r w:rsidRPr="008461F7">
        <w:rPr>
          <w:noProof/>
          <w:lang w:val="en-US" w:eastAsia="en-US"/>
        </w:rPr>
        <w:pict>
          <v:shapetype id="_x0000_t202" coordsize="21600,21600" o:spt="202" path="m0,0l0,21600,21600,21600,21600,0xe">
            <v:stroke joinstyle="miter"/>
            <v:path gradientshapeok="t" o:connecttype="rect"/>
          </v:shapetype>
          <v:shape id="_x0000_s1026" type="#_x0000_t202" style="position:absolute;margin-left:-9pt;margin-top:-697.4pt;width:467.6pt;height:593.6pt;z-index:251659264;mso-wrap-edited:f" wrapcoords="0 0 21600 0 21600 21600 0 21600 0 0" filled="f" stroked="f" strokeweight="0">
            <v:textbox style="mso-next-textbox:#_x0000_s1026">
              <w:txbxContent>
                <w:p w:rsidR="00E46E34" w:rsidRDefault="00E46E34" w:rsidP="000B0151">
                  <w:pPr>
                    <w:rPr>
                      <w:b/>
                      <w:u w:val="single"/>
                    </w:rPr>
                  </w:pPr>
                  <w:r w:rsidRPr="00E8069F">
                    <w:rPr>
                      <w:b/>
                      <w:u w:val="single"/>
                    </w:rPr>
                    <w:t>SCHEDA IMMOBILE</w:t>
                  </w:r>
                </w:p>
                <w:p w:rsidR="00E46E34" w:rsidRDefault="00E46E34" w:rsidP="000B0151">
                  <w:pPr>
                    <w:rPr>
                      <w:b/>
                      <w:u w:val="single"/>
                    </w:rPr>
                  </w:pPr>
                </w:p>
                <w:p w:rsidR="00E46E34" w:rsidRDefault="00E46E34" w:rsidP="000B0151">
                  <w:pPr>
                    <w:rPr>
                      <w:b/>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tblPr>
                  <w:tblGrid>
                    <w:gridCol w:w="4220"/>
                    <w:gridCol w:w="4220"/>
                  </w:tblGrid>
                  <w:tr w:rsidR="00E46E34" w:rsidRPr="00002224">
                    <w:tc>
                      <w:tcPr>
                        <w:tcW w:w="4220" w:type="dxa"/>
                      </w:tcPr>
                      <w:p w:rsidR="00E46E34" w:rsidRPr="00266BF0" w:rsidRDefault="00E46E34">
                        <w:pPr>
                          <w:rPr>
                            <w:rFonts w:ascii="Arial" w:hAnsi="Arial"/>
                            <w:sz w:val="28"/>
                          </w:rPr>
                        </w:pPr>
                        <w:r w:rsidRPr="00266BF0">
                          <w:rPr>
                            <w:rFonts w:ascii="Arial" w:hAnsi="Arial"/>
                            <w:sz w:val="28"/>
                          </w:rPr>
                          <w:t>Indirizzo:</w:t>
                        </w:r>
                      </w:p>
                    </w:tc>
                    <w:tc>
                      <w:tcPr>
                        <w:tcW w:w="4220" w:type="dxa"/>
                      </w:tcPr>
                      <w:p w:rsidR="00E46E34" w:rsidRPr="00266BF0" w:rsidRDefault="00E46E34">
                        <w:pPr>
                          <w:rPr>
                            <w:rFonts w:ascii="Arial" w:hAnsi="Arial"/>
                            <w:sz w:val="28"/>
                          </w:rPr>
                        </w:pPr>
                        <w:r>
                          <w:rPr>
                            <w:rFonts w:ascii="Arial" w:hAnsi="Arial"/>
                            <w:sz w:val="28"/>
                          </w:rPr>
                          <w:t>Hortensia Road</w:t>
                        </w:r>
                      </w:p>
                    </w:tc>
                  </w:tr>
                  <w:tr w:rsidR="00E46E34" w:rsidRPr="00002224">
                    <w:tc>
                      <w:tcPr>
                        <w:tcW w:w="4220" w:type="dxa"/>
                      </w:tcPr>
                      <w:p w:rsidR="00E46E34" w:rsidRPr="00266BF0" w:rsidRDefault="00E46E34">
                        <w:pPr>
                          <w:rPr>
                            <w:rFonts w:ascii="Arial" w:hAnsi="Arial"/>
                            <w:sz w:val="28"/>
                          </w:rPr>
                        </w:pPr>
                        <w:r w:rsidRPr="00266BF0">
                          <w:rPr>
                            <w:rFonts w:ascii="Arial" w:hAnsi="Arial"/>
                            <w:sz w:val="28"/>
                          </w:rPr>
                          <w:t>Area:</w:t>
                        </w:r>
                      </w:p>
                    </w:tc>
                    <w:tc>
                      <w:tcPr>
                        <w:tcW w:w="4220" w:type="dxa"/>
                      </w:tcPr>
                      <w:p w:rsidR="00E46E34" w:rsidRPr="00266BF0" w:rsidRDefault="00E46E34">
                        <w:pPr>
                          <w:rPr>
                            <w:rFonts w:ascii="Arial" w:hAnsi="Arial"/>
                            <w:sz w:val="28"/>
                          </w:rPr>
                        </w:pPr>
                        <w:r>
                          <w:rPr>
                            <w:rFonts w:ascii="Arial" w:hAnsi="Arial"/>
                            <w:sz w:val="28"/>
                          </w:rPr>
                          <w:t>Chelsea</w:t>
                        </w:r>
                      </w:p>
                    </w:tc>
                  </w:tr>
                  <w:tr w:rsidR="00E46E34" w:rsidRPr="00002224">
                    <w:tc>
                      <w:tcPr>
                        <w:tcW w:w="4220" w:type="dxa"/>
                      </w:tcPr>
                      <w:p w:rsidR="00E46E34" w:rsidRPr="00266BF0" w:rsidRDefault="00E46E34">
                        <w:pPr>
                          <w:rPr>
                            <w:rFonts w:ascii="Arial" w:hAnsi="Arial"/>
                            <w:sz w:val="28"/>
                          </w:rPr>
                        </w:pPr>
                        <w:r w:rsidRPr="00266BF0">
                          <w:rPr>
                            <w:rFonts w:ascii="Arial" w:hAnsi="Arial"/>
                            <w:sz w:val="28"/>
                          </w:rPr>
                          <w:t>Traduzione in italiano:</w:t>
                        </w:r>
                      </w:p>
                    </w:tc>
                    <w:tc>
                      <w:tcPr>
                        <w:tcW w:w="4220" w:type="dxa"/>
                      </w:tcPr>
                      <w:p w:rsidR="00E46E34" w:rsidRPr="00C26F21" w:rsidRDefault="00E46E34" w:rsidP="00C26F21">
                        <w:pPr>
                          <w:jc w:val="both"/>
                          <w:rPr>
                            <w:rFonts w:ascii="Arial" w:hAnsi="Arial"/>
                            <w:color w:val="000000" w:themeColor="text1"/>
                          </w:rPr>
                        </w:pPr>
                        <w:r w:rsidRPr="00C26F21">
                          <w:rPr>
                            <w:rFonts w:ascii="Arial" w:hAnsi="Arial"/>
                            <w:color w:val="000000" w:themeColor="text1"/>
                          </w:rPr>
                          <w:t>Recentissimo appartamento tenuto molto bene composto da ampio soggiorno con cucina, due camere da letto e due bagni,</w:t>
                        </w:r>
                        <w:r w:rsidR="00C26F21">
                          <w:rPr>
                            <w:rFonts w:ascii="Arial" w:hAnsi="Arial"/>
                            <w:color w:val="000000" w:themeColor="text1"/>
                          </w:rPr>
                          <w:t xml:space="preserve"> </w:t>
                        </w:r>
                        <w:r w:rsidRPr="00C26F21">
                          <w:rPr>
                            <w:rFonts w:ascii="Arial" w:hAnsi="Arial"/>
                            <w:color w:val="000000" w:themeColor="text1"/>
                          </w:rPr>
                          <w:t>con un parcheggio sotterraneo recintato. Il piano si trova la famosa zona di Chelsea, con vicinanza al Kings Road e Fulham Road, con ottimi collegamenti e numerosi ristoranti e locali. L'appartamento è di buone dimensioni.</w:t>
                        </w:r>
                      </w:p>
                      <w:p w:rsidR="00E46E34" w:rsidRPr="00C26F21" w:rsidRDefault="00C26F21" w:rsidP="00C26F21">
                        <w:pPr>
                          <w:jc w:val="both"/>
                          <w:rPr>
                            <w:rFonts w:ascii="Arial" w:hAnsi="Arial"/>
                            <w:color w:val="000000" w:themeColor="text1"/>
                          </w:rPr>
                        </w:pPr>
                        <w:r w:rsidRPr="00C26F21">
                          <w:rPr>
                            <w:rFonts w:ascii="Arial" w:hAnsi="Arial" w:cs="Arial"/>
                            <w:color w:val="000000" w:themeColor="text1"/>
                          </w:rPr>
                          <w:t>La stazione Metro più vicina è quella di Fulham Broadway oppure Imperial Wharf rispettivamente District line ed Overground.</w:t>
                        </w:r>
                      </w:p>
                    </w:tc>
                  </w:tr>
                  <w:tr w:rsidR="00E46E34" w:rsidRPr="00002224">
                    <w:tc>
                      <w:tcPr>
                        <w:tcW w:w="4220" w:type="dxa"/>
                      </w:tcPr>
                      <w:p w:rsidR="00E46E34" w:rsidRPr="00266BF0" w:rsidRDefault="00E46E34">
                        <w:pPr>
                          <w:rPr>
                            <w:rFonts w:ascii="Arial" w:hAnsi="Arial"/>
                            <w:sz w:val="28"/>
                          </w:rPr>
                        </w:pPr>
                        <w:r w:rsidRPr="00266BF0">
                          <w:rPr>
                            <w:rFonts w:ascii="Arial" w:hAnsi="Arial"/>
                            <w:sz w:val="28"/>
                          </w:rPr>
                          <w:t>Traduzione in inglese:</w:t>
                        </w:r>
                      </w:p>
                    </w:tc>
                    <w:tc>
                      <w:tcPr>
                        <w:tcW w:w="4220" w:type="dxa"/>
                      </w:tcPr>
                      <w:p w:rsidR="00E46E34" w:rsidRPr="00C26F21" w:rsidRDefault="00E46E34" w:rsidP="00C26F21">
                        <w:pPr>
                          <w:widowControl w:val="0"/>
                          <w:autoSpaceDE w:val="0"/>
                          <w:autoSpaceDN w:val="0"/>
                          <w:adjustRightInd w:val="0"/>
                          <w:jc w:val="both"/>
                          <w:rPr>
                            <w:rFonts w:ascii="Arial" w:hAnsi="Arial" w:cs="Arial"/>
                            <w:color w:val="000000" w:themeColor="text1"/>
                          </w:rPr>
                        </w:pPr>
                        <w:r w:rsidRPr="00C26F21">
                          <w:rPr>
                            <w:rFonts w:ascii="Arial" w:hAnsi="Arial" w:cs="Arial"/>
                            <w:color w:val="000000" w:themeColor="text1"/>
                          </w:rPr>
                          <w:t>This is a very well presented 2-bedroom apartment with a gated underground car park. The Flat is within the popular area of Chelsea with close proximity to the Kings Road and Fulham Road with excellent transport links and numerous local restaurants. The flat is a good size at 834 sq ft with 2 bathrooms as well.</w:t>
                        </w:r>
                      </w:p>
                      <w:p w:rsidR="00E46E34" w:rsidRPr="00C26F21" w:rsidRDefault="00E46E34" w:rsidP="00C26F21">
                        <w:pPr>
                          <w:jc w:val="both"/>
                          <w:rPr>
                            <w:rFonts w:ascii="Arial" w:hAnsi="Arial"/>
                            <w:color w:val="000000" w:themeColor="text1"/>
                          </w:rPr>
                        </w:pPr>
                      </w:p>
                    </w:tc>
                  </w:tr>
                  <w:tr w:rsidR="00E46E34" w:rsidRPr="00002224">
                    <w:tc>
                      <w:tcPr>
                        <w:tcW w:w="4220" w:type="dxa"/>
                      </w:tcPr>
                      <w:p w:rsidR="00E46E34" w:rsidRPr="00266BF0" w:rsidRDefault="00E46E34">
                        <w:pPr>
                          <w:rPr>
                            <w:rFonts w:ascii="Arial" w:hAnsi="Arial"/>
                            <w:sz w:val="28"/>
                          </w:rPr>
                        </w:pPr>
                        <w:r w:rsidRPr="00266BF0">
                          <w:rPr>
                            <w:rFonts w:ascii="Arial" w:hAnsi="Arial"/>
                            <w:sz w:val="28"/>
                          </w:rPr>
                          <w:t>Prezzo in £:</w:t>
                        </w:r>
                      </w:p>
                    </w:tc>
                    <w:tc>
                      <w:tcPr>
                        <w:tcW w:w="4220" w:type="dxa"/>
                      </w:tcPr>
                      <w:p w:rsidR="00E46E34" w:rsidRPr="00C26F21" w:rsidRDefault="00E46E34">
                        <w:pPr>
                          <w:rPr>
                            <w:rFonts w:ascii="Arial" w:hAnsi="Arial"/>
                            <w:color w:val="000000" w:themeColor="text1"/>
                          </w:rPr>
                        </w:pPr>
                        <w:r w:rsidRPr="00C26F21">
                          <w:rPr>
                            <w:rFonts w:ascii="Arial" w:hAnsi="Arial"/>
                            <w:color w:val="000000" w:themeColor="text1"/>
                          </w:rPr>
                          <w:t>985,000</w:t>
                        </w:r>
                      </w:p>
                    </w:tc>
                  </w:tr>
                  <w:tr w:rsidR="00E46E34" w:rsidRPr="00002224">
                    <w:tc>
                      <w:tcPr>
                        <w:tcW w:w="4220" w:type="dxa"/>
                      </w:tcPr>
                      <w:p w:rsidR="00E46E34" w:rsidRPr="00266BF0" w:rsidRDefault="00E46E34">
                        <w:pPr>
                          <w:rPr>
                            <w:rFonts w:ascii="Arial" w:hAnsi="Arial"/>
                            <w:sz w:val="28"/>
                          </w:rPr>
                        </w:pPr>
                        <w:r w:rsidRPr="00266BF0">
                          <w:rPr>
                            <w:rFonts w:ascii="Arial" w:hAnsi="Arial"/>
                            <w:sz w:val="28"/>
                          </w:rPr>
                          <w:t>Camere da letto:</w:t>
                        </w:r>
                      </w:p>
                    </w:tc>
                    <w:tc>
                      <w:tcPr>
                        <w:tcW w:w="4220" w:type="dxa"/>
                      </w:tcPr>
                      <w:p w:rsidR="00E46E34" w:rsidRPr="00C26F21" w:rsidRDefault="00E46E34">
                        <w:pPr>
                          <w:rPr>
                            <w:rFonts w:ascii="Arial" w:hAnsi="Arial"/>
                            <w:color w:val="000000" w:themeColor="text1"/>
                          </w:rPr>
                        </w:pPr>
                        <w:r w:rsidRPr="00C26F21">
                          <w:rPr>
                            <w:rFonts w:ascii="Arial" w:hAnsi="Arial"/>
                            <w:color w:val="000000" w:themeColor="text1"/>
                          </w:rPr>
                          <w:t>2</w:t>
                        </w:r>
                      </w:p>
                    </w:tc>
                  </w:tr>
                  <w:tr w:rsidR="00E46E34" w:rsidRPr="00002224">
                    <w:tc>
                      <w:tcPr>
                        <w:tcW w:w="4220" w:type="dxa"/>
                      </w:tcPr>
                      <w:p w:rsidR="00E46E34" w:rsidRPr="00266BF0" w:rsidRDefault="00E46E34">
                        <w:pPr>
                          <w:rPr>
                            <w:rFonts w:ascii="Arial" w:hAnsi="Arial"/>
                            <w:sz w:val="28"/>
                          </w:rPr>
                        </w:pPr>
                        <w:r w:rsidRPr="00266BF0">
                          <w:rPr>
                            <w:rFonts w:ascii="Arial" w:hAnsi="Arial"/>
                            <w:sz w:val="28"/>
                          </w:rPr>
                          <w:t>Bagni:</w:t>
                        </w:r>
                      </w:p>
                    </w:tc>
                    <w:tc>
                      <w:tcPr>
                        <w:tcW w:w="4220" w:type="dxa"/>
                      </w:tcPr>
                      <w:p w:rsidR="00E46E34" w:rsidRPr="00C26F21" w:rsidRDefault="00E46E34">
                        <w:pPr>
                          <w:rPr>
                            <w:rFonts w:ascii="Arial" w:hAnsi="Arial"/>
                            <w:color w:val="000000" w:themeColor="text1"/>
                          </w:rPr>
                        </w:pPr>
                        <w:r w:rsidRPr="00C26F21">
                          <w:rPr>
                            <w:rFonts w:ascii="Arial" w:hAnsi="Arial"/>
                            <w:color w:val="000000" w:themeColor="text1"/>
                          </w:rPr>
                          <w:t>2</w:t>
                        </w:r>
                      </w:p>
                    </w:tc>
                  </w:tr>
                  <w:tr w:rsidR="00E46E34" w:rsidRPr="00002224">
                    <w:tc>
                      <w:tcPr>
                        <w:tcW w:w="4220" w:type="dxa"/>
                      </w:tcPr>
                      <w:p w:rsidR="00E46E34" w:rsidRPr="00266BF0" w:rsidRDefault="00E46E34">
                        <w:pPr>
                          <w:rPr>
                            <w:rFonts w:ascii="Arial" w:hAnsi="Arial"/>
                            <w:sz w:val="28"/>
                          </w:rPr>
                        </w:pPr>
                        <w:r w:rsidRPr="00266BF0">
                          <w:rPr>
                            <w:rFonts w:ascii="Arial" w:hAnsi="Arial"/>
                            <w:sz w:val="28"/>
                          </w:rPr>
                          <w:t>Tenure:</w:t>
                        </w:r>
                      </w:p>
                    </w:tc>
                    <w:tc>
                      <w:tcPr>
                        <w:tcW w:w="4220" w:type="dxa"/>
                      </w:tcPr>
                      <w:p w:rsidR="00E46E34" w:rsidRPr="00C26F21" w:rsidRDefault="00E46E34">
                        <w:pPr>
                          <w:rPr>
                            <w:rFonts w:ascii="Arial" w:hAnsi="Arial"/>
                            <w:color w:val="000000" w:themeColor="text1"/>
                          </w:rPr>
                        </w:pPr>
                        <w:r w:rsidRPr="00C26F21">
                          <w:rPr>
                            <w:rFonts w:ascii="Arial" w:hAnsi="Arial"/>
                            <w:color w:val="000000" w:themeColor="text1"/>
                          </w:rPr>
                          <w:t>LEASEHOLD</w:t>
                        </w:r>
                      </w:p>
                    </w:tc>
                  </w:tr>
                  <w:tr w:rsidR="00E46E34" w:rsidRPr="00002224">
                    <w:tc>
                      <w:tcPr>
                        <w:tcW w:w="4220" w:type="dxa"/>
                      </w:tcPr>
                      <w:p w:rsidR="00E46E34" w:rsidRPr="00266BF0" w:rsidRDefault="00E46E34">
                        <w:pPr>
                          <w:rPr>
                            <w:rFonts w:ascii="Arial" w:hAnsi="Arial"/>
                            <w:sz w:val="28"/>
                          </w:rPr>
                        </w:pPr>
                        <w:r w:rsidRPr="00266BF0">
                          <w:rPr>
                            <w:rFonts w:ascii="Arial" w:hAnsi="Arial"/>
                            <w:sz w:val="28"/>
                          </w:rPr>
                          <w:t>Rivalutazione zona ultimo anno:</w:t>
                        </w:r>
                      </w:p>
                    </w:tc>
                    <w:tc>
                      <w:tcPr>
                        <w:tcW w:w="4220" w:type="dxa"/>
                      </w:tcPr>
                      <w:p w:rsidR="00E46E34" w:rsidRPr="00C26F21" w:rsidRDefault="00E46E34">
                        <w:pPr>
                          <w:rPr>
                            <w:rFonts w:ascii="Arial" w:hAnsi="Arial"/>
                            <w:color w:val="000000" w:themeColor="text1"/>
                          </w:rPr>
                        </w:pPr>
                        <w:r w:rsidRPr="00C26F21">
                          <w:rPr>
                            <w:rFonts w:ascii="Arial" w:hAnsi="Arial"/>
                            <w:color w:val="000000" w:themeColor="text1"/>
                          </w:rPr>
                          <w:t>13,52%</w:t>
                        </w:r>
                      </w:p>
                    </w:tc>
                  </w:tr>
                </w:tbl>
                <w:p w:rsidR="00E46E34" w:rsidRPr="007D344B" w:rsidRDefault="00E46E34" w:rsidP="000B0151">
                  <w:pPr>
                    <w:jc w:val="both"/>
                    <w:rPr>
                      <w:rFonts w:ascii="Arial" w:hAnsi="Arial"/>
                      <w:sz w:val="22"/>
                      <w:szCs w:val="22"/>
                    </w:rPr>
                  </w:pPr>
                </w:p>
              </w:txbxContent>
            </v:textbox>
            <w10:wrap type="through"/>
          </v:shape>
        </w:pict>
      </w:r>
    </w:p>
    <w:p w:rsidR="009358EB" w:rsidRDefault="008461F7">
      <w:r>
        <w:rPr>
          <w:noProof/>
        </w:rPr>
        <w:pict>
          <v:shape id="Casella di testo 1" o:spid="_x0000_s1027" type="#_x0000_t202" style="position:absolute;margin-left:-8.95pt;margin-top:-706.35pt;width:467.6pt;height:593.6pt;z-index:251660288;visibility:visible;mso-wrap-style:square;mso-wrap-edited:f;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wrapcoords="0 0 21600 0 21600 21600 0 21600 0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" filled="f" stroked="f" strokeweight="0">
            <v:textbox>
              <w:txbxContent>
                <w:p w:rsidR="00C26F21" w:rsidRPr="007D344B" w:rsidRDefault="00C26F21" w:rsidP="000B0151">
                  <w:pPr>
                    <w:jc w:val="both"/>
                    <w:rPr>
                      <w:rFonts w:ascii="Arial" w:hAnsi="Arial"/>
                      <w:sz w:val="22"/>
                      <w:szCs w:val="22"/>
                    </w:rPr>
                  </w:pPr>
                </w:p>
              </w:txbxContent>
            </v:textbox>
            <w10:wrap type="through"/>
          </v:shape>
        </w:pict>
      </w:r>
    </w:p>
    <w:sectPr w:rsidR="009358EB" w:rsidSect="0077446F">
      <w:headerReference w:type="even" r:id="rId4"/>
      <w:headerReference w:type="default" r:id="rId5"/>
      <w:footerReference w:type="even" r:id="rId6"/>
      <w:footerReference w:type="default" r:id="rId7"/>
      <w:headerReference w:type="first" r:id="rId8"/>
      <w:footerReference w:type="first" r:id="rId9"/>
      <w:pgSz w:w="11900" w:h="16840"/>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Times New Roman">
    <w:panose1 w:val="02020603050405020304"/>
    <w:charset w:val="00"/>
    <w:family w:val="auto"/>
    <w:pitch w:val="variable"/>
    <w:sig w:usb0="00000003" w:usb1="00000000" w:usb2="00000000" w:usb3="00000000" w:csb0="00000001" w:csb1="00000000"/>
  </w:font>
  <w:font w:name="Lucida Grande">
    <w:panose1 w:val="020B06000405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0B0151" w:rsidRDefault="00E01BFF">
    <w:pPr>
      <w:pStyle w:val="Pidipagina"/>
    </w:pPr>
  </w:p>
</w:ftr>
</file>

<file path=word/footer2.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0B0151" w:rsidRDefault="00E01BFF">
    <w:pPr>
      <w:pStyle w:val="Pidipagina"/>
    </w:pPr>
  </w:p>
</w:ftr>
</file>

<file path=word/footer3.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0B0151" w:rsidRDefault="00E01BFF">
    <w:pPr>
      <w:pStyle w:val="Pidipagina"/>
    </w:pPr>
  </w:p>
</w:ftr>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0B0151" w:rsidRDefault="00E01BFF">
    <w:pPr>
      <w:pStyle w:val="Intestazione"/>
    </w:pPr>
  </w:p>
</w:hdr>
</file>

<file path=word/header2.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0B0151" w:rsidRDefault="008461F7" w:rsidP="000B0151">
    <w:pPr>
      <w:pStyle w:val="Intestazione"/>
      <w:tabs>
        <w:tab w:val="center" w:pos="-1701"/>
        <w:tab w:val="right" w:pos="11900"/>
      </w:tabs>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4.4pt;height:840.8pt">
          <v:imagedata r:id="rId1" o:title="A4 WWP_2014 LH"/>
        </v:shape>
      </w:pict>
    </w:r>
    <w:r w:rsidR="00C26F21">
      <w:tab/>
    </w:r>
  </w:p>
</w:hdr>
</file>

<file path=word/header3.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0B0151" w:rsidRDefault="00E01BFF">
    <w:pPr>
      <w:pStyle w:val="Intestazion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oNotTrackMoves/>
  <w:defaultTabStop w:val="708"/>
  <w:hyphenationZone w:val="283"/>
  <w:characterSpacingControl w:val="doNotCompress"/>
  <w:savePreviewPicture/>
  <w:hdrShapeDefaults>
    <o:shapedefaults v:ext="edit" spidmax="4099"/>
  </w:hdrShapeDefaults>
  <w:compat>
    <w:useFELayout/>
  </w:compat>
  <w:rsids>
    <w:rsidRoot w:val="00E46E34"/>
    <w:rsid w:val="008461F7"/>
    <w:rsid w:val="009358EB"/>
    <w:rsid w:val="00C26F21"/>
    <w:rsid w:val="00E01BFF"/>
    <w:rsid w:val="00E46E34"/>
  </w:rsids>
  <m:mathPr>
    <m:mathFont m:val="Impact"/>
    <m:brkBin m:val="before"/>
    <m:brkBinSub m:val="--"/>
    <m:smallFrac/>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shapeDefaults>
    <o:shapedefaults v:ext="edit" spidmax="409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461F7"/>
  </w:style>
  <w:style w:type="character" w:default="1" w:styleId="Caratterepredefinitoparagrafo">
    <w:name w:val="Default Paragraph Font"/>
    <w:semiHidden/>
    <w:unhideWhenUsed/>
  </w:style>
  <w:style w:type="table" w:default="1" w:styleId="Tabellanormale">
    <w:name w:val="Normal Table"/>
    <w:semiHidden/>
    <w:unhideWhenUsed/>
    <w:qFormat/>
    <w:tblPr>
      <w:tblInd w:w="0" w:type="dxa"/>
      <w:tblCellMar>
        <w:top w:w="0" w:type="dxa"/>
        <w:left w:w="108" w:type="dxa"/>
        <w:bottom w:w="0" w:type="dxa"/>
        <w:right w:w="108" w:type="dxa"/>
      </w:tblCellMar>
    </w:tblPr>
  </w:style>
  <w:style w:type="numbering" w:default="1" w:styleId="Nessunelenco">
    <w:name w:val="No List"/>
    <w:semiHidden/>
    <w:unhideWhenUsed/>
  </w:style>
  <w:style w:type="paragraph" w:styleId="Intestazione">
    <w:name w:val="header"/>
    <w:basedOn w:val="Normale"/>
    <w:link w:val="IntestazioneCarattere"/>
    <w:rsid w:val="00E46E34"/>
    <w:pPr>
      <w:tabs>
        <w:tab w:val="center" w:pos="4419"/>
        <w:tab w:val="right" w:pos="8838"/>
      </w:tabs>
    </w:pPr>
    <w:rPr>
      <w:rFonts w:ascii="Times New Roman" w:eastAsia="Times New Roman" w:hAnsi="Times New Roman" w:cs="Times New Roman"/>
      <w:lang w:val="en-GB" w:eastAsia="es-ES_tradnl"/>
    </w:rPr>
  </w:style>
  <w:style w:type="character" w:customStyle="1" w:styleId="IntestazioneCarattere">
    <w:name w:val="Intestazione Carattere"/>
    <w:basedOn w:val="Caratterepredefinitoparagrafo"/>
    <w:link w:val="Intestazione"/>
    <w:rsid w:val="00E46E34"/>
    <w:rPr>
      <w:rFonts w:ascii="Times New Roman" w:eastAsia="Times New Roman" w:hAnsi="Times New Roman" w:cs="Times New Roman"/>
      <w:lang w:val="en-GB" w:eastAsia="es-ES_tradnl"/>
    </w:rPr>
  </w:style>
  <w:style w:type="paragraph" w:styleId="Pidipagina">
    <w:name w:val="footer"/>
    <w:basedOn w:val="Normale"/>
    <w:link w:val="PidipaginaCarattere"/>
    <w:semiHidden/>
    <w:rsid w:val="00E46E34"/>
    <w:pPr>
      <w:tabs>
        <w:tab w:val="center" w:pos="4419"/>
        <w:tab w:val="right" w:pos="8838"/>
      </w:tabs>
    </w:pPr>
    <w:rPr>
      <w:rFonts w:ascii="Times New Roman" w:eastAsia="Times New Roman" w:hAnsi="Times New Roman" w:cs="Times New Roman"/>
      <w:lang w:val="en-GB" w:eastAsia="es-ES_tradnl"/>
    </w:rPr>
  </w:style>
  <w:style w:type="character" w:customStyle="1" w:styleId="PidipaginaCarattere">
    <w:name w:val="Piè di pagina Carattere"/>
    <w:basedOn w:val="Caratterepredefinitoparagrafo"/>
    <w:link w:val="Pidipagina"/>
    <w:semiHidden/>
    <w:rsid w:val="00E46E34"/>
    <w:rPr>
      <w:rFonts w:ascii="Times New Roman" w:eastAsia="Times New Roman" w:hAnsi="Times New Roman" w:cs="Times New Roman"/>
      <w:lang w:val="en-GB" w:eastAsia="es-ES_tradnl"/>
    </w:rPr>
  </w:style>
  <w:style w:type="paragraph" w:styleId="Testofumetto">
    <w:name w:val="Balloon Text"/>
    <w:basedOn w:val="Normale"/>
    <w:link w:val="TestofumettoCarattere"/>
    <w:uiPriority w:val="99"/>
    <w:semiHidden/>
    <w:unhideWhenUsed/>
    <w:rsid w:val="00C26F21"/>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C26F21"/>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E46E34"/>
    <w:pPr>
      <w:tabs>
        <w:tab w:val="center" w:pos="4419"/>
        <w:tab w:val="right" w:pos="8838"/>
      </w:tabs>
    </w:pPr>
    <w:rPr>
      <w:rFonts w:ascii="Times New Roman" w:eastAsia="Times New Roman" w:hAnsi="Times New Roman" w:cs="Times New Roman"/>
      <w:lang w:val="en-GB" w:eastAsia="es-ES_tradnl"/>
    </w:rPr>
  </w:style>
  <w:style w:type="character" w:customStyle="1" w:styleId="IntestazioneCarattere">
    <w:name w:val="Intestazione Carattere"/>
    <w:basedOn w:val="Caratterepredefinitoparagrafo"/>
    <w:link w:val="Intestazione"/>
    <w:rsid w:val="00E46E34"/>
    <w:rPr>
      <w:rFonts w:ascii="Times New Roman" w:eastAsia="Times New Roman" w:hAnsi="Times New Roman" w:cs="Times New Roman"/>
      <w:lang w:val="en-GB" w:eastAsia="es-ES_tradnl"/>
    </w:rPr>
  </w:style>
  <w:style w:type="paragraph" w:styleId="Pidipagina">
    <w:name w:val="footer"/>
    <w:basedOn w:val="Normale"/>
    <w:link w:val="PidipaginaCarattere"/>
    <w:semiHidden/>
    <w:rsid w:val="00E46E34"/>
    <w:pPr>
      <w:tabs>
        <w:tab w:val="center" w:pos="4419"/>
        <w:tab w:val="right" w:pos="8838"/>
      </w:tabs>
    </w:pPr>
    <w:rPr>
      <w:rFonts w:ascii="Times New Roman" w:eastAsia="Times New Roman" w:hAnsi="Times New Roman" w:cs="Times New Roman"/>
      <w:lang w:val="en-GB" w:eastAsia="es-ES_tradnl"/>
    </w:rPr>
  </w:style>
  <w:style w:type="character" w:customStyle="1" w:styleId="PidipaginaCarattere">
    <w:name w:val="Piè di pagina Carattere"/>
    <w:basedOn w:val="Caratterepredefinitoparagrafo"/>
    <w:link w:val="Pidipagina"/>
    <w:semiHidden/>
    <w:rsid w:val="00E46E34"/>
    <w:rPr>
      <w:rFonts w:ascii="Times New Roman" w:eastAsia="Times New Roman" w:hAnsi="Times New Roman" w:cs="Times New Roman"/>
      <w:lang w:val="en-GB" w:eastAsia="es-ES_tradnl"/>
    </w:rPr>
  </w:style>
  <w:style w:type="paragraph" w:styleId="Testofumetto">
    <w:name w:val="Balloon Text"/>
    <w:basedOn w:val="Normale"/>
    <w:link w:val="TestofumettoCarattere"/>
    <w:uiPriority w:val="99"/>
    <w:semiHidden/>
    <w:unhideWhenUsed/>
    <w:rsid w:val="00C26F21"/>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C26F21"/>
    <w:rPr>
      <w:rFonts w:ascii="Lucida Grande" w:hAnsi="Lucida Grande" w:cs="Lucida Grande"/>
      <w:sz w:val="18"/>
      <w:szCs w:val="18"/>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theme" Target="theme/theme1.xml"/><Relationship Id="rId12" Type="http://schemas.microsoft.com/office/2007/relationships/stylesWithEffects" Target="stylesWithEffects.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header" Target="header3.xml"/><Relationship Id="rId9" Type="http://schemas.openxmlformats.org/officeDocument/2006/relationships/footer" Target="footer3.xml"/><Relationship Id="rId10"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0</Words>
  <Characters>3</Characters>
  <Application>Microsoft Word 12.0.0</Application>
  <DocSecurity>0</DocSecurity>
  <Lines>1</Lines>
  <Paragraphs>1</Paragraphs>
  <ScaleCrop>false</ScaleCrop>
  <Company/>
  <LinksUpToDate>false</LinksUpToDate>
  <CharactersWithSpaces>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Matteo Salerno</dc:creator>
  <cp:keywords/>
  <dc:description/>
  <cp:lastModifiedBy>Simone Ventura</cp:lastModifiedBy>
  <cp:revision>3</cp:revision>
  <dcterms:created xsi:type="dcterms:W3CDTF">2014-11-29T15:50:00Z</dcterms:created>
  <dcterms:modified xsi:type="dcterms:W3CDTF">2014-12-03T18:51:00Z</dcterms:modified>
</cp:coreProperties>
</file>